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1"/>
        <w:jc w:val="right"/>
        <w:rPr/>
      </w:pPr>
      <w:r>
        <w:rPr/>
        <w:t>Приложение 9</w:t>
        <w:br/>
      </w:r>
      <w:r>
        <w:rPr>
          <w:sz w:val="22"/>
        </w:rPr>
        <w:t xml:space="preserve">к Учетной политике Муниципального </w:t>
      </w:r>
    </w:p>
    <w:p>
      <w:pPr>
        <w:pStyle w:val="Style11"/>
        <w:jc w:val="right"/>
        <w:rPr>
          <w:sz w:val="22"/>
        </w:rPr>
      </w:pPr>
      <w:r>
        <w:rPr>
          <w:sz w:val="22"/>
        </w:rPr>
        <w:t>бюджетного учреждения «Комплексный центр </w:t>
      </w:r>
    </w:p>
    <w:p>
      <w:pPr>
        <w:pStyle w:val="Style11"/>
        <w:jc w:val="right"/>
        <w:rPr>
          <w:sz w:val="22"/>
        </w:rPr>
      </w:pPr>
      <w:r>
        <w:rPr>
          <w:sz w:val="22"/>
        </w:rPr>
        <w:t xml:space="preserve">социального обслуживания населения» </w:t>
      </w:r>
    </w:p>
    <w:p>
      <w:pPr>
        <w:pStyle w:val="Style11"/>
        <w:jc w:val="right"/>
        <w:rPr>
          <w:sz w:val="22"/>
        </w:rPr>
      </w:pPr>
      <w:r>
        <w:rPr>
          <w:sz w:val="22"/>
        </w:rPr>
        <w:t xml:space="preserve">города Троицка </w:t>
      </w:r>
    </w:p>
    <w:p>
      <w:pPr>
        <w:pStyle w:val="Style11"/>
        <w:jc w:val="right"/>
        <w:rPr>
          <w:sz w:val="22"/>
        </w:rPr>
      </w:pPr>
      <w:r>
        <w:rPr>
          <w:sz w:val="22"/>
        </w:rPr>
      </w:r>
    </w:p>
    <w:p>
      <w:pPr>
        <w:pStyle w:val="2"/>
        <w:spacing w:before="280" w:after="280"/>
        <w:rPr>
          <w:rFonts w:ascii="Times New Roman" w:hAnsi="Times New Roman" w:eastAsia="Times New Roman" w:cs="Times New Roman"/>
          <w:i w:val="false"/>
          <w:i w:val="false"/>
          <w:sz w:val="28"/>
        </w:rPr>
      </w:pPr>
      <w:r>
        <w:rPr>
          <w:rFonts w:eastAsia="Times New Roman" w:cs="Times New Roman" w:ascii="Times New Roman" w:hAnsi="Times New Roman"/>
          <w:i w:val="false"/>
          <w:sz w:val="28"/>
        </w:rPr>
        <w:t>Порядок расчетов с подотчетными лицами</w:t>
      </w:r>
    </w:p>
    <w:p>
      <w:pPr>
        <w:pStyle w:val="2"/>
        <w:spacing w:before="280" w:after="280"/>
        <w:rPr>
          <w:rFonts w:ascii="Times New Roman" w:hAnsi="Times New Roman" w:eastAsia="Times New Roman" w:cs="Times New Roman"/>
          <w:i w:val="false"/>
          <w:i w:val="false"/>
          <w:sz w:val="28"/>
        </w:rPr>
      </w:pPr>
      <w:r>
        <w:rPr>
          <w:rStyle w:val="Enumerated"/>
          <w:rFonts w:eastAsia="Times New Roman" w:cs="Times New Roman" w:ascii="Times New Roman" w:hAnsi="Times New Roman"/>
          <w:i w:val="false"/>
          <w:sz w:val="28"/>
        </w:rPr>
        <w:t>1.</w:t>
      </w:r>
      <w:r>
        <w:rPr>
          <w:rFonts w:eastAsia="Times New Roman" w:cs="Times New Roman" w:ascii="Times New Roman" w:hAnsi="Times New Roman"/>
          <w:i w:val="false"/>
          <w:sz w:val="28"/>
        </w:rPr>
        <w:t xml:space="preserve"> Общие положения</w:t>
      </w:r>
      <w:bookmarkStart w:id="0" w:name="_GoBack"/>
      <w:bookmarkEnd w:id="0"/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1.1.</w:t>
      </w:r>
      <w:r>
        <w:rPr>
          <w:rFonts w:cs="Times New Roman" w:ascii="Times New Roman" w:hAnsi="Times New Roman"/>
          <w:sz w:val="28"/>
        </w:rPr>
        <w:t xml:space="preserve"> Настоящее Положение о порядке расчетов с подотчетными лицами (далее — Положение) разработано в соответствии с: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 xml:space="preserve">-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Инструкцией</w:t>
        </w:r>
      </w:hyperlink>
      <w:r>
        <w:rPr>
          <w:rFonts w:cs="Times New Roman" w:ascii="Times New Roman" w:hAnsi="Times New Roman"/>
          <w:sz w:val="28"/>
        </w:rPr>
        <w:t xml:space="preserve">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</w:t>
      </w:r>
      <w:hyperlink r:id="rId3">
        <w:r>
          <w:rPr>
            <w:rStyle w:val="-"/>
            <w:rFonts w:cs="Times New Roman" w:ascii="Times New Roman" w:hAnsi="Times New Roman"/>
            <w:sz w:val="28"/>
          </w:rPr>
          <w:t>приказом</w:t>
        </w:r>
      </w:hyperlink>
      <w:r>
        <w:rPr>
          <w:rFonts w:cs="Times New Roman" w:ascii="Times New Roman" w:hAnsi="Times New Roman"/>
          <w:sz w:val="28"/>
        </w:rPr>
        <w:t xml:space="preserve"> Минфина России от 01.12.2010 </w:t>
      </w:r>
      <w:r>
        <w:rPr>
          <w:rFonts w:cs="Times New Roman" w:ascii="Times New Roman" w:hAnsi="Times New Roman"/>
          <w:sz w:val="28"/>
        </w:rPr>
        <w:t>№</w:t>
      </w:r>
      <w:r>
        <w:rPr>
          <w:rFonts w:cs="Times New Roman" w:ascii="Times New Roman" w:hAnsi="Times New Roman"/>
          <w:sz w:val="28"/>
        </w:rPr>
        <w:t xml:space="preserve"> 157н (далее - Инструкции </w:t>
      </w:r>
      <w:r>
        <w:rPr>
          <w:rFonts w:cs="Times New Roman" w:ascii="Times New Roman" w:hAnsi="Times New Roman"/>
          <w:sz w:val="28"/>
        </w:rPr>
        <w:t>№</w:t>
      </w:r>
      <w:r>
        <w:rPr>
          <w:rFonts w:cs="Times New Roman" w:ascii="Times New Roman" w:hAnsi="Times New Roman"/>
          <w:sz w:val="28"/>
        </w:rPr>
        <w:t xml:space="preserve"> 157);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 xml:space="preserve">- </w:t>
      </w:r>
      <w:hyperlink r:id="rId4">
        <w:r>
          <w:rPr>
            <w:rStyle w:val="-"/>
            <w:rFonts w:cs="Times New Roman" w:ascii="Times New Roman" w:hAnsi="Times New Roman"/>
            <w:sz w:val="28"/>
          </w:rPr>
          <w:t>приказом</w:t>
        </w:r>
      </w:hyperlink>
      <w:r>
        <w:rPr>
          <w:rFonts w:cs="Times New Roman" w:ascii="Times New Roman" w:hAnsi="Times New Roman"/>
          <w:sz w:val="28"/>
        </w:rPr>
        <w:t xml:space="preserve"> Минфина России от 30.03.2015 </w:t>
      </w:r>
      <w:r>
        <w:rPr>
          <w:rFonts w:cs="Times New Roman" w:ascii="Times New Roman" w:hAnsi="Times New Roman"/>
          <w:sz w:val="28"/>
        </w:rPr>
        <w:t>№</w:t>
      </w:r>
      <w:r>
        <w:rPr>
          <w:rFonts w:cs="Times New Roman" w:ascii="Times New Roman" w:hAnsi="Times New Roman"/>
          <w:sz w:val="28"/>
        </w:rPr>
        <w:t xml:space="preserve">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N 52н);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 xml:space="preserve">- </w:t>
      </w:r>
      <w:hyperlink r:id="rId5">
        <w:r>
          <w:rPr>
            <w:rStyle w:val="-"/>
            <w:rFonts w:cs="Times New Roman" w:ascii="Times New Roman" w:hAnsi="Times New Roman"/>
            <w:sz w:val="28"/>
          </w:rPr>
          <w:t>Указанием</w:t>
        </w:r>
      </w:hyperlink>
      <w:r>
        <w:rPr>
          <w:rFonts w:cs="Times New Roman" w:ascii="Times New Roman" w:hAnsi="Times New Roman"/>
          <w:sz w:val="28"/>
        </w:rPr>
        <w:t xml:space="preserve"> Банка России от 11.03.2014 </w:t>
      </w:r>
      <w:r>
        <w:rPr>
          <w:rFonts w:cs="Times New Roman" w:ascii="Times New Roman" w:hAnsi="Times New Roman"/>
          <w:sz w:val="28"/>
        </w:rPr>
        <w:t>№</w:t>
      </w:r>
      <w:r>
        <w:rPr>
          <w:rFonts w:cs="Times New Roman" w:ascii="Times New Roman" w:hAnsi="Times New Roman"/>
          <w:sz w:val="28"/>
        </w:rPr>
        <w:t xml:space="preserve">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предпринимательства";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 xml:space="preserve">- </w:t>
      </w:r>
      <w:hyperlink r:id="rId6">
        <w:r>
          <w:rPr>
            <w:rStyle w:val="-"/>
            <w:rFonts w:cs="Times New Roman" w:ascii="Times New Roman" w:hAnsi="Times New Roman"/>
            <w:sz w:val="28"/>
          </w:rPr>
          <w:t>Правилами</w:t>
        </w:r>
      </w:hyperlink>
      <w:r>
        <w:rPr>
          <w:rFonts w:cs="Times New Roman" w:ascii="Times New Roman" w:hAnsi="Times New Roman"/>
          <w:sz w:val="28"/>
        </w:rPr>
        <w:t xml:space="preserve">, утвержденными </w:t>
      </w:r>
      <w:hyperlink r:id="rId7">
        <w:r>
          <w:rPr>
            <w:rStyle w:val="-"/>
            <w:rFonts w:cs="Times New Roman" w:ascii="Times New Roman" w:hAnsi="Times New Roman"/>
            <w:sz w:val="28"/>
          </w:rPr>
          <w:t>приказом</w:t>
        </w:r>
      </w:hyperlink>
      <w:r>
        <w:rPr>
          <w:rFonts w:cs="Times New Roman" w:ascii="Times New Roman" w:hAnsi="Times New Roman"/>
          <w:sz w:val="28"/>
        </w:rPr>
        <w:t xml:space="preserve"> Федерального казначейства от 30.06.2014 </w:t>
      </w:r>
      <w:r>
        <w:rPr>
          <w:rFonts w:cs="Times New Roman" w:ascii="Times New Roman" w:hAnsi="Times New Roman"/>
          <w:sz w:val="28"/>
        </w:rPr>
        <w:t>№</w:t>
      </w:r>
      <w:r>
        <w:rPr>
          <w:rFonts w:cs="Times New Roman" w:ascii="Times New Roman" w:hAnsi="Times New Roman"/>
          <w:sz w:val="28"/>
        </w:rPr>
        <w:t xml:space="preserve"> 10н.</w:t>
      </w:r>
    </w:p>
    <w:p>
      <w:pPr>
        <w:pStyle w:val="2"/>
        <w:spacing w:lineRule="exact" w:line="340" w:before="280" w:after="280"/>
        <w:rPr/>
      </w:pPr>
      <w:r>
        <w:rPr>
          <w:rStyle w:val="Enumerated"/>
          <w:rFonts w:eastAsia="Times New Roman" w:cs="Times New Roman" w:ascii="Times New Roman" w:hAnsi="Times New Roman"/>
          <w:sz w:val="28"/>
        </w:rPr>
        <w:t>2.</w:t>
      </w:r>
      <w:r>
        <w:rPr>
          <w:rFonts w:eastAsia="Times New Roman" w:cs="Times New Roman" w:ascii="Times New Roman" w:hAnsi="Times New Roman"/>
          <w:sz w:val="28"/>
        </w:rPr>
        <w:t xml:space="preserve"> Порядок выдачи денежных средств и денежных документов под отчет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2.1.</w:t>
      </w:r>
      <w:r>
        <w:rPr>
          <w:rFonts w:cs="Times New Roman" w:ascii="Times New Roman" w:hAnsi="Times New Roman"/>
          <w:sz w:val="28"/>
        </w:rPr>
        <w:t xml:space="preserve"> Денежные средства выдаются под отчет на расходы, связанные с приобретением товаров (работ, услуг), и командировочные расходы.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2.2.</w:t>
      </w:r>
      <w:r>
        <w:rPr>
          <w:rFonts w:cs="Times New Roman" w:ascii="Times New Roman" w:hAnsi="Times New Roman"/>
          <w:sz w:val="28"/>
        </w:rPr>
        <w:t xml:space="preserve"> Выдача под отчет денежных средств для приобретения товаров (работ, услуг) производится работникам, поименованным в Списке лиц, имеющих право получать денежные средства под отчет на указанные цели (</w:t>
      </w:r>
      <w:hyperlink r:id="rId8">
        <w:r>
          <w:rPr>
            <w:rStyle w:val="-"/>
            <w:rFonts w:cs="Times New Roman" w:ascii="Times New Roman" w:hAnsi="Times New Roman"/>
            <w:sz w:val="28"/>
          </w:rPr>
          <w:t>Приложение</w:t>
        </w:r>
      </w:hyperlink>
      <w:r>
        <w:rPr>
          <w:rFonts w:cs="Times New Roman" w:ascii="Times New Roman" w:hAnsi="Times New Roman"/>
          <w:sz w:val="28"/>
        </w:rPr>
        <w:t xml:space="preserve"> № </w:t>
      </w:r>
      <w:r>
        <w:rPr>
          <w:rStyle w:val="Printable"/>
          <w:rFonts w:cs="Times New Roman" w:ascii="Times New Roman" w:hAnsi="Times New Roman"/>
          <w:sz w:val="28"/>
        </w:rPr>
        <w:t>8</w:t>
      </w:r>
      <w:r>
        <w:rPr>
          <w:rFonts w:cs="Times New Roman" w:ascii="Times New Roman" w:hAnsi="Times New Roman"/>
          <w:sz w:val="28"/>
        </w:rPr>
        <w:t>).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Авансы для осуществления расходов в целях организации разовых мероприятий (семинаров, конференций и т.п.), порядок проведения которых определяется отдельным приказом (распоряжением) руководителя организации, выдаются сотрудникам, указанным в данном приказе (распоряжении).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2.3.</w:t>
      </w:r>
      <w:r>
        <w:rPr>
          <w:rFonts w:cs="Times New Roman" w:ascii="Times New Roman" w:hAnsi="Times New Roman"/>
          <w:sz w:val="28"/>
        </w:rPr>
        <w:t xml:space="preserve"> Авансы на командировочные расходы выдаются под отчет лицам, работающим в учреждении на основании трудовых договоров (сотрудникам учреждения), направленным в служебную командировку в соответствии с приказом руководителя.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2.4.</w:t>
      </w:r>
      <w:r>
        <w:rPr>
          <w:rFonts w:cs="Times New Roman" w:ascii="Times New Roman" w:hAnsi="Times New Roman"/>
          <w:sz w:val="28"/>
        </w:rPr>
        <w:t xml:space="preserve"> Не допускается выдача денежных средств под отчет физическим лицам, не являющимся сотрудниками организации. Выдача денежных средств таким физическим лицам допускается только на основании соответствующего гражданско-правового договора.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2.5.</w:t>
      </w:r>
      <w:r>
        <w:rPr>
          <w:rFonts w:cs="Times New Roman" w:ascii="Times New Roman" w:hAnsi="Times New Roman"/>
          <w:sz w:val="28"/>
        </w:rPr>
        <w:t xml:space="preserve"> Не допускается передача выданных под отчет денежных средств (денежных документов) одним лицом другому.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2.6.</w:t>
      </w:r>
      <w:r>
        <w:rPr>
          <w:rFonts w:cs="Times New Roman" w:ascii="Times New Roman" w:hAnsi="Times New Roman"/>
          <w:sz w:val="28"/>
        </w:rPr>
        <w:t xml:space="preserve"> Денежные средства и денежные документы выдаются под отчет только по распоряжению руководителя учреждения и на основании заявления подотчетного лица (далее также - Заявление).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Выдача под отчет денежных средств осуществляется только при отсутствии задолженности по ранее выданным под отчет денежным средствам, по которым наступил срок предоставления Авансового отчета.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Наличие у подотчетного лица неиспользованных денежных документов не является основанием для отказа этому лицу в выдаче под отчет денежных средств.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2.7.</w:t>
      </w:r>
      <w:r>
        <w:rPr>
          <w:rFonts w:cs="Times New Roman" w:ascii="Times New Roman" w:hAnsi="Times New Roman"/>
          <w:sz w:val="28"/>
        </w:rPr>
        <w:t xml:space="preserve"> 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вида. Наличие у подотчетного лица неиспользованных подотчетных денежных средств не является основанием для отказа этому лицу в выдаче под отчет денежных документов. Выдача под отчет денежных документов в объемах, превышающих дневную потребность, допускается только при наличии у сотрудника условий для их хранения.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2.8.</w:t>
      </w:r>
      <w:r>
        <w:rPr>
          <w:rFonts w:cs="Times New Roman" w:ascii="Times New Roman" w:hAnsi="Times New Roman"/>
          <w:sz w:val="28"/>
        </w:rPr>
        <w:t xml:space="preserve"> Распоряжение руководителя о выдаче денежных средств (денежных документов) под отчет оформляется как разрешительная надпись на Заявлении.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2.9.</w:t>
      </w:r>
      <w:r>
        <w:rPr>
          <w:rFonts w:cs="Times New Roman" w:ascii="Times New Roman" w:hAnsi="Times New Roman"/>
          <w:sz w:val="28"/>
        </w:rPr>
        <w:t xml:space="preserve"> Заявление на получение денежных средств (денежных документов) под отчет оформляется по специальной форме (</w:t>
      </w:r>
      <w:hyperlink r:id="rId9">
        <w:r>
          <w:rPr>
            <w:rStyle w:val="-"/>
            <w:rFonts w:cs="Times New Roman" w:ascii="Times New Roman" w:hAnsi="Times New Roman"/>
            <w:sz w:val="28"/>
          </w:rPr>
          <w:t>Приложение</w:t>
        </w:r>
      </w:hyperlink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№</w:t>
      </w:r>
      <w:r>
        <w:rPr>
          <w:rFonts w:cs="Times New Roman" w:ascii="Times New Roman" w:hAnsi="Times New Roman"/>
          <w:sz w:val="28"/>
        </w:rPr>
        <w:t xml:space="preserve"> </w:t>
      </w:r>
      <w:r>
        <w:rPr>
          <w:rStyle w:val="Printable"/>
          <w:rFonts w:cs="Times New Roman" w:ascii="Times New Roman" w:hAnsi="Times New Roman"/>
          <w:sz w:val="28"/>
        </w:rPr>
        <w:t>1</w:t>
      </w:r>
      <w:r>
        <w:rPr>
          <w:rFonts w:cs="Times New Roman" w:ascii="Times New Roman" w:hAnsi="Times New Roman"/>
          <w:sz w:val="28"/>
        </w:rPr>
        <w:t>).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 xml:space="preserve">Денежные средства (денежные документы) выдаются сотруднику в течение </w:t>
      </w:r>
      <w:r>
        <w:rPr>
          <w:rStyle w:val="Printable"/>
          <w:rFonts w:cs="Times New Roman" w:ascii="Times New Roman" w:hAnsi="Times New Roman"/>
          <w:sz w:val="28"/>
        </w:rPr>
        <w:t>трех</w:t>
      </w:r>
      <w:r>
        <w:rPr>
          <w:rFonts w:cs="Times New Roman" w:ascii="Times New Roman" w:hAnsi="Times New Roman"/>
          <w:sz w:val="28"/>
        </w:rPr>
        <w:t xml:space="preserve"> рабочих дней со дня предоставления Заявления, оформленного в установленном порядке.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2.10.</w:t>
      </w:r>
      <w:r>
        <w:rPr>
          <w:rFonts w:cs="Times New Roman" w:ascii="Times New Roman" w:hAnsi="Times New Roman"/>
          <w:sz w:val="28"/>
        </w:rPr>
        <w:t xml:space="preserve"> В Заявлении на получение денежных средств указываются конкретные направления расходов, которые планирует осуществить подотчетное лицо. Заявление без указания целей расходования денежных средств или с формальным указанием планируемых направлений расходов (например, "на хозрасходы", "на проведение праздничного мероприятия") считается неоформленным и не может являться основанием для выдачи денежных средств под отчет, так как не позволяет однозначно определить расходные коды </w:t>
      </w:r>
      <w:hyperlink r:id="rId10">
        <w:r>
          <w:rPr>
            <w:rStyle w:val="-"/>
            <w:rFonts w:cs="Times New Roman" w:ascii="Times New Roman" w:hAnsi="Times New Roman"/>
            <w:sz w:val="28"/>
          </w:rPr>
          <w:t>бюджетной классификации</w:t>
        </w:r>
      </w:hyperlink>
      <w:r>
        <w:rPr>
          <w:rFonts w:cs="Times New Roman" w:ascii="Times New Roman" w:hAnsi="Times New Roman"/>
          <w:sz w:val="28"/>
        </w:rPr>
        <w:t>. Размер подотчетной суммы, испрашиваемой сотрудником, определяется на основании предварительного расчета. Расчет производится подотчетным лицом исходя из расценок (тарифов, норм), действующих на день подачи Заявления.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Заявление на получение денежных средств под отчет оформляется с учетом следующих требований:</w:t>
      </w:r>
    </w:p>
    <w:tbl>
      <w:tblPr>
        <w:tblW w:w="5000" w:type="pct"/>
        <w:jc w:val="left"/>
        <w:tblInd w:w="14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firstRow="1" w:noVBand="1" w:lastRow="0" w:firstColumn="1" w:lastColumn="0" w:noHBand="0" w:val="04a0"/>
      </w:tblPr>
      <w:tblGrid>
        <w:gridCol w:w="4838"/>
        <w:gridCol w:w="4837"/>
      </w:tblGrid>
      <w:tr>
        <w:trPr/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2"/>
              <w:widowControl w:val="false"/>
              <w:spacing w:lineRule="exact" w:line="3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Назначение аванса</w:t>
            </w:r>
          </w:p>
        </w:tc>
        <w:tc>
          <w:tcPr>
            <w:tcW w:w="4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2"/>
              <w:widowControl w:val="false"/>
              <w:spacing w:lineRule="exact" w:line="3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Требования к оформлению заявления</w:t>
            </w:r>
          </w:p>
        </w:tc>
      </w:tr>
      <w:tr>
        <w:trPr/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На служебную командировку</w:t>
            </w:r>
          </w:p>
        </w:tc>
        <w:tc>
          <w:tcPr>
            <w:tcW w:w="4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Приводится ссылка на приказ о командировании, указывается место командирования и срок командировки</w:t>
            </w:r>
          </w:p>
        </w:tc>
      </w:tr>
      <w:tr>
        <w:trPr/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На закупку товарно-материальных ценностей (ТМЦ)</w:t>
            </w:r>
          </w:p>
        </w:tc>
        <w:tc>
          <w:tcPr>
            <w:tcW w:w="4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Указывается номенклатура, количество и цены товаров (согласно предварительным расчетам). Перечень должен позволить однозначно определить, планируется ли приобретение основных средств или материальных запасов, а также классифицировать приобретаемые ТМЦ по кодам бюджетной классификации (в т.ч. кодам видов расходов)</w:t>
            </w:r>
          </w:p>
        </w:tc>
      </w:tr>
      <w:tr>
        <w:trPr/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На оплату услуг, работ</w:t>
            </w:r>
          </w:p>
        </w:tc>
        <w:tc>
          <w:tcPr>
            <w:tcW w:w="4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Приводится номенклатура (перечень) услуг (работ) и их стоимость (согласно предварительным расчетам). Приведенный перечень должен позволять однозначно классифицировать услуги, работы по кодам КОСГУ, по иным кодам бюджетной классификации (кодам видов расходов)</w:t>
            </w:r>
          </w:p>
        </w:tc>
      </w:tr>
      <w:tr>
        <w:trPr/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Компенсация расходов сотрудника, самостоятельно произведенных им в интересах учреждения в обстоятельствах, исключающих предварительное получение аванса</w:t>
            </w:r>
          </w:p>
        </w:tc>
        <w:tc>
          <w:tcPr>
            <w:tcW w:w="4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Указываются соответствующие обстоятельства, а также перечень товаров (работ, услуг), фактически приобретенных (оплаченных) сотрудником</w:t>
            </w:r>
          </w:p>
        </w:tc>
      </w:tr>
      <w:tr>
        <w:trPr/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Компенсация расходов сотрудника, понесенных им в интересах учреждения (кроме чрезвычайных обстоятельств)</w:t>
            </w:r>
          </w:p>
        </w:tc>
        <w:tc>
          <w:tcPr>
            <w:tcW w:w="4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28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Приводится перечень товаров (работ, услуг), фактически приобретенных (оплаченных) сотрудником.</w:t>
            </w:r>
          </w:p>
          <w:p>
            <w:pPr>
              <w:pStyle w:val="NormalWeb"/>
              <w:widowControl w:val="false"/>
              <w:spacing w:lineRule="exact" w:line="340" w:before="28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Кроме того, в заявлении должна содержаться информация о том, почему сотрудник полагает, что произведенные им по собственной инициативе расходы будут полезны учреждению</w:t>
            </w:r>
          </w:p>
        </w:tc>
      </w:tr>
      <w:tr>
        <w:trPr/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Style w:val="Printable"/>
                <w:rFonts w:cs="Times New Roman" w:ascii="Times New Roman" w:hAnsi="Times New Roman"/>
                <w:color w:val="000000"/>
                <w:sz w:val="28"/>
              </w:rPr>
              <w:t>_________________________</w:t>
            </w:r>
          </w:p>
        </w:tc>
        <w:tc>
          <w:tcPr>
            <w:tcW w:w="4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Style w:val="Printable"/>
                <w:rFonts w:cs="Times New Roman" w:ascii="Times New Roman" w:hAnsi="Times New Roman"/>
                <w:color w:val="000000"/>
                <w:sz w:val="28"/>
              </w:rPr>
              <w:t>_________________________</w:t>
            </w:r>
          </w:p>
        </w:tc>
      </w:tr>
    </w:tbl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2.11.</w:t>
      </w:r>
      <w:r>
        <w:rPr>
          <w:rFonts w:cs="Times New Roman" w:ascii="Times New Roman" w:hAnsi="Times New Roman"/>
          <w:sz w:val="28"/>
        </w:rPr>
        <w:t xml:space="preserve"> Расчеты с подотчетными лицами осуществляются через кассу учреждения, а также с использованием банковских карт ("зарплатных" и (или) оформляемых через органы казначейства). Для осуществления расчетов по командировочным расходам используются "зарплатные" банковские карты сотрудников. Денежные средства на административно-хозяйственные расходы предоставляются путем перечисления на банковские карты, оформляемые в органах казначейства. Через кассу подотчетные суммы выдаются только сотрудникам, не имеющим соответствующих банковских карт.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При выдаче под отчет денежных средств (денежных документов) в Расходном кассовом ордере приводится ссылка на соответствующее Заявление. Само Заявление приобщается к Отчету кассира.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При перечислении сумм под отчет на банковскую карту Заявление приобщается к Заявке на кассовый расход.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2.12.</w:t>
      </w:r>
      <w:r>
        <w:rPr>
          <w:rFonts w:cs="Times New Roman" w:ascii="Times New Roman" w:hAnsi="Times New Roman"/>
          <w:sz w:val="28"/>
        </w:rPr>
        <w:t xml:space="preserve"> До представления Заявления на получение денежных средств под отчет на утверждение руководителю. Уполномоченный работник бухгалтерии указывает в Заявлении: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- информацию о наличии (отсутствии) у сотрудника задолженности по ранее выданным авансам и срокам предоставления отчета по ним;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- расшифровку запрошенных сумм по соответствующим кодам бюджетной классификации;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- сведения о наличии свободных лимитов бюджетных обязательств (прав на принятие обязательств) по соответствующим кодам бюджетной классификации;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- информацию о несоответствии заявления каким-либо положениям приказа об учетной политике.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 xml:space="preserve">Информация, указанная в Заявлении уполномоченным сотрудником </w:t>
      </w:r>
      <w:r>
        <w:rPr>
          <w:rStyle w:val="Printable"/>
          <w:rFonts w:cs="Times New Roman" w:ascii="Times New Roman" w:hAnsi="Times New Roman"/>
          <w:sz w:val="28"/>
        </w:rPr>
        <w:t>бухгалтерии</w:t>
      </w:r>
      <w:r>
        <w:rPr>
          <w:rFonts w:cs="Times New Roman" w:ascii="Times New Roman" w:hAnsi="Times New Roman"/>
          <w:sz w:val="28"/>
        </w:rPr>
        <w:t>, заверяется подписью.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2.13.</w:t>
      </w:r>
      <w:r>
        <w:rPr>
          <w:rFonts w:cs="Times New Roman" w:ascii="Times New Roman" w:hAnsi="Times New Roman"/>
          <w:sz w:val="28"/>
        </w:rPr>
        <w:t xml:space="preserve"> Срок, на который денежные средства (денежные документы) испрашиваются под отчет, подотчетное лицо собственноручно указывает в Заявлении. Руководитель учреждения подтверждает этот срок или устанавливает при утверждении Заявления иной срок.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Если в Заявлении не указан предельный срок их расходования (использования), денежные средства или денежные документы должны быть израсходованы (использованы) подотчетным лицом в день получения.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2.14.</w:t>
      </w:r>
      <w:r>
        <w:rPr>
          <w:rFonts w:cs="Times New Roman" w:ascii="Times New Roman" w:hAnsi="Times New Roman"/>
          <w:sz w:val="28"/>
        </w:rPr>
        <w:t xml:space="preserve"> Срок, на который согласно Заявлению выдаются денежные средства (денежные документы), не может превышать: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- пять рабочих дней (при оплате иных материальных ценностей, работ, услуг);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- срок командировки (со дня выезда по день приезда);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 xml:space="preserve">- </w:t>
      </w:r>
      <w:r>
        <w:rPr>
          <w:rStyle w:val="Printable"/>
          <w:rFonts w:cs="Times New Roman" w:ascii="Times New Roman" w:hAnsi="Times New Roman"/>
          <w:sz w:val="28"/>
        </w:rPr>
        <w:t>пять</w:t>
      </w:r>
      <w:r>
        <w:rPr>
          <w:rFonts w:cs="Times New Roman" w:ascii="Times New Roman" w:hAnsi="Times New Roman"/>
          <w:sz w:val="28"/>
        </w:rPr>
        <w:t xml:space="preserve"> рабочих дней (при использовании денежных документов).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2.15.</w:t>
      </w:r>
      <w:r>
        <w:rPr>
          <w:rFonts w:cs="Times New Roman" w:ascii="Times New Roman" w:hAnsi="Times New Roman"/>
          <w:sz w:val="28"/>
        </w:rPr>
        <w:t xml:space="preserve"> Предельная сумма выдачи наличных денежных средств под отчет на расходы, связанные с приобретением товаров (работ, услуг), из кассы учреждения устанавливается в размере </w:t>
      </w:r>
      <w:r>
        <w:rPr>
          <w:rStyle w:val="Printable"/>
          <w:rFonts w:cs="Times New Roman" w:ascii="Times New Roman" w:hAnsi="Times New Roman"/>
          <w:sz w:val="28"/>
        </w:rPr>
        <w:t>10 000</w:t>
      </w:r>
      <w:r>
        <w:rPr>
          <w:rFonts w:cs="Times New Roman" w:ascii="Times New Roman" w:hAnsi="Times New Roman"/>
          <w:sz w:val="28"/>
        </w:rPr>
        <w:t xml:space="preserve"> рублей.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 xml:space="preserve">Сумма выдачи денежных средств под отчет на эти цели с применением расчетных (дебетовых) карт не может превышать </w:t>
      </w:r>
      <w:r>
        <w:rPr>
          <w:rStyle w:val="Printable"/>
          <w:rFonts w:cs="Times New Roman" w:ascii="Times New Roman" w:hAnsi="Times New Roman"/>
          <w:sz w:val="28"/>
        </w:rPr>
        <w:t>10 000 рублей</w:t>
      </w:r>
      <w:r>
        <w:rPr>
          <w:rFonts w:cs="Times New Roman" w:ascii="Times New Roman" w:hAnsi="Times New Roman"/>
          <w:sz w:val="28"/>
        </w:rPr>
        <w:t>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2.16.</w:t>
      </w:r>
      <w:r>
        <w:rPr>
          <w:rFonts w:cs="Times New Roman" w:ascii="Times New Roman" w:hAnsi="Times New Roman"/>
          <w:sz w:val="28"/>
        </w:rPr>
        <w:t xml:space="preserve"> Денежные средства (авансы) на расходы, связанные со служебными командировками, выдаются из кассы учреждения (перечисляются на расчетные (дебетовые) карты сотрудников) в пределах сумм расходов, установленных Положением о служебных командировках.</w:t>
      </w:r>
    </w:p>
    <w:p>
      <w:pPr>
        <w:pStyle w:val="2"/>
        <w:spacing w:lineRule="exact" w:line="340" w:before="280" w:after="280"/>
        <w:rPr/>
      </w:pPr>
      <w:r>
        <w:rPr>
          <w:rStyle w:val="Enumerated"/>
          <w:rFonts w:eastAsia="Times New Roman" w:cs="Times New Roman" w:ascii="Times New Roman" w:hAnsi="Times New Roman"/>
          <w:sz w:val="28"/>
        </w:rPr>
        <w:t>3.</w:t>
      </w:r>
      <w:r>
        <w:rPr>
          <w:rFonts w:eastAsia="Times New Roman" w:cs="Times New Roman" w:ascii="Times New Roman" w:hAnsi="Times New Roman"/>
          <w:sz w:val="28"/>
        </w:rPr>
        <w:t xml:space="preserve"> Порядок представления авансового отчета и подтверждения расходования (использования) денежных средств (денежных документов)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3.1.</w:t>
      </w:r>
      <w:r>
        <w:rPr>
          <w:rFonts w:cs="Times New Roman" w:ascii="Times New Roman" w:hAnsi="Times New Roman"/>
          <w:sz w:val="28"/>
        </w:rPr>
        <w:t xml:space="preserve"> Сотрудник обязан представить Авансовый отчет (</w:t>
      </w:r>
      <w:hyperlink r:id="rId11">
        <w:r>
          <w:rPr>
            <w:rStyle w:val="-"/>
            <w:rFonts w:cs="Times New Roman" w:ascii="Times New Roman" w:hAnsi="Times New Roman"/>
            <w:sz w:val="28"/>
          </w:rPr>
          <w:t>ф. 0504505</w:t>
        </w:r>
      </w:hyperlink>
      <w:r>
        <w:rPr>
          <w:rFonts w:cs="Times New Roman" w:ascii="Times New Roman" w:hAnsi="Times New Roman"/>
          <w:sz w:val="28"/>
        </w:rPr>
        <w:t>) не позднее: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- трех рабочих дней после дня истечения срока, на который выданы денежные средства (денежные документы) под отчет;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- дня выхода на работу.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 xml:space="preserve">В конце финансового года срок, на который денежные средства выдаются под отчет, устанавливается таким образом, чтобы обязанность по представлению авансового отчета возникла не позднее </w:t>
      </w:r>
      <w:r>
        <w:rPr>
          <w:rStyle w:val="Printable"/>
          <w:rFonts w:cs="Times New Roman" w:ascii="Times New Roman" w:hAnsi="Times New Roman"/>
          <w:sz w:val="28"/>
        </w:rPr>
        <w:t>25</w:t>
      </w:r>
      <w:r>
        <w:rPr>
          <w:rFonts w:cs="Times New Roman" w:ascii="Times New Roman" w:hAnsi="Times New Roman"/>
          <w:sz w:val="28"/>
        </w:rPr>
        <w:t xml:space="preserve"> декабря текущего года.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Независимо от срока, на который выдан аванс, подотчетному лицу надлежит представить авансовый отчет и сдать неиспользованный остаток аванса при убытии в отпуск, командировку (за исключением тех случаев, когда аванс представляется на осуществление расходов в отпуске, командировке). В случае заболевания подотчетного лица представление авансового отчета и сдача неиспользованного остатка аванса осуществляется этим лицом в порядке, согласованном с руководителем организации.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3.2.</w:t>
      </w:r>
      <w:r>
        <w:rPr>
          <w:rFonts w:cs="Times New Roman" w:ascii="Times New Roman" w:hAnsi="Times New Roman"/>
          <w:sz w:val="28"/>
        </w:rPr>
        <w:t xml:space="preserve"> При сдаче надлежаще оформленного и утвержденного авансового отчета ответственный сотрудник </w:t>
      </w:r>
      <w:r>
        <w:rPr>
          <w:rStyle w:val="Printable"/>
          <w:rFonts w:cs="Times New Roman" w:ascii="Times New Roman" w:hAnsi="Times New Roman"/>
          <w:sz w:val="28"/>
        </w:rPr>
        <w:t>бухгалтерии</w:t>
      </w:r>
      <w:r>
        <w:rPr>
          <w:rFonts w:cs="Times New Roman" w:ascii="Times New Roman" w:hAnsi="Times New Roman"/>
          <w:sz w:val="28"/>
        </w:rPr>
        <w:t xml:space="preserve"> выдает подотчетному лицу расписку о количестве полученных отчетных документов.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3.3.</w:t>
      </w:r>
      <w:r>
        <w:rPr>
          <w:rFonts w:cs="Times New Roman" w:ascii="Times New Roman" w:hAnsi="Times New Roman"/>
          <w:sz w:val="28"/>
        </w:rPr>
        <w:t xml:space="preserve"> Проверенный бухгалтером авансовый отчет утверждается руководителем учреждения. После этого утвержденный авансовый отчет принимается к учету.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 xml:space="preserve">Проверка авансового отчета </w:t>
      </w:r>
      <w:r>
        <w:rPr>
          <w:rStyle w:val="Printable"/>
          <w:rFonts w:cs="Times New Roman" w:ascii="Times New Roman" w:hAnsi="Times New Roman"/>
          <w:sz w:val="28"/>
        </w:rPr>
        <w:t>бухгалтером</w:t>
      </w:r>
      <w:r>
        <w:rPr>
          <w:rFonts w:cs="Times New Roman" w:ascii="Times New Roman" w:hAnsi="Times New Roman"/>
          <w:sz w:val="28"/>
        </w:rPr>
        <w:t xml:space="preserve"> и утверждение его руководителем осуществляются в течение </w:t>
      </w:r>
      <w:r>
        <w:rPr>
          <w:rStyle w:val="Printable"/>
          <w:rFonts w:cs="Times New Roman" w:ascii="Times New Roman" w:hAnsi="Times New Roman"/>
          <w:sz w:val="28"/>
        </w:rPr>
        <w:t>двух</w:t>
      </w:r>
      <w:r>
        <w:rPr>
          <w:rFonts w:cs="Times New Roman" w:ascii="Times New Roman" w:hAnsi="Times New Roman"/>
          <w:sz w:val="28"/>
        </w:rPr>
        <w:t xml:space="preserve"> рабочих дней со дня представления его в </w:t>
      </w:r>
      <w:r>
        <w:rPr>
          <w:rStyle w:val="Printable"/>
          <w:rFonts w:cs="Times New Roman" w:ascii="Times New Roman" w:hAnsi="Times New Roman"/>
          <w:sz w:val="28"/>
        </w:rPr>
        <w:t>бухгалтерию</w:t>
      </w:r>
      <w:r>
        <w:rPr>
          <w:rFonts w:cs="Times New Roman" w:ascii="Times New Roman" w:hAnsi="Times New Roman"/>
          <w:sz w:val="28"/>
        </w:rPr>
        <w:t>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3.4.</w:t>
      </w:r>
      <w:r>
        <w:rPr>
          <w:rFonts w:cs="Times New Roman" w:ascii="Times New Roman" w:hAnsi="Times New Roman"/>
          <w:sz w:val="28"/>
        </w:rPr>
        <w:t xml:space="preserve"> Окончательный расчет по авансовому отчету (погашение задолженности подотчетным лицом или организацией) осуществляется не позднее </w:t>
      </w:r>
      <w:r>
        <w:rPr>
          <w:rStyle w:val="Printable"/>
          <w:rFonts w:cs="Times New Roman" w:ascii="Times New Roman" w:hAnsi="Times New Roman"/>
          <w:sz w:val="28"/>
        </w:rPr>
        <w:t>двух</w:t>
      </w:r>
      <w:r>
        <w:rPr>
          <w:rFonts w:cs="Times New Roman" w:ascii="Times New Roman" w:hAnsi="Times New Roman"/>
          <w:sz w:val="28"/>
        </w:rPr>
        <w:t xml:space="preserve"> рабочих дней со дня предоставления авансового отчета.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Если сотрудник не отчитался за полученные под отчет денежные средства в установленные сроки, сумма задолженности удерживается из доходов этого сотрудника в порядке, предусмотренном действующим законодательством.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3.5.</w:t>
      </w:r>
      <w:r>
        <w:rPr>
          <w:rFonts w:cs="Times New Roman" w:ascii="Times New Roman" w:hAnsi="Times New Roman"/>
          <w:sz w:val="28"/>
        </w:rPr>
        <w:t xml:space="preserve"> Не допускается расходование денежных средств, полученных под отчет, на цели, не предусмотренные утвержденным в установленном порядке Заявлением.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 xml:space="preserve">Если согласно представленному авансовому отчету такие расходы осуществлялись, по решению руководителя этот авансовый отчет может быть не принят к учету, а соответствующие денежные средства подлежат возврату. 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3.6.</w:t>
      </w:r>
      <w:r>
        <w:rPr>
          <w:rFonts w:cs="Times New Roman" w:ascii="Times New Roman" w:hAnsi="Times New Roman"/>
          <w:sz w:val="28"/>
        </w:rPr>
        <w:t xml:space="preserve"> Признание расходов, произведенных подотчетным лицом, возможно только на основании документов, подтверждающих: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- получение конкретного имущества, оказание (выполнение) определенных услуг (работ);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- факт совершения расходов;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- дату совершения расходов;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- сумму произведенных расходов.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Отчетными документами по отдельным видам расходов являются:</w:t>
      </w:r>
    </w:p>
    <w:tbl>
      <w:tblPr>
        <w:tblW w:w="5000" w:type="pct"/>
        <w:jc w:val="left"/>
        <w:tblInd w:w="14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firstRow="1" w:noVBand="1" w:lastRow="0" w:firstColumn="1" w:lastColumn="0" w:noHBand="0" w:val="04a0"/>
      </w:tblPr>
      <w:tblGrid>
        <w:gridCol w:w="4838"/>
        <w:gridCol w:w="4837"/>
      </w:tblGrid>
      <w:tr>
        <w:trPr/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2"/>
              <w:widowControl w:val="false"/>
              <w:spacing w:lineRule="exact" w:line="3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Вид расходов</w:t>
            </w:r>
          </w:p>
        </w:tc>
        <w:tc>
          <w:tcPr>
            <w:tcW w:w="4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2"/>
              <w:widowControl w:val="false"/>
              <w:spacing w:lineRule="exact" w:line="3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>Отчетные документы</w:t>
            </w:r>
          </w:p>
        </w:tc>
      </w:tr>
      <w:tr>
        <w:trPr/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Транспортные услуги - при оформлении электронных билетов</w:t>
            </w:r>
          </w:p>
        </w:tc>
        <w:tc>
          <w:tcPr>
            <w:tcW w:w="4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28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1. Распечатка маршрут/квитанции (купона) электронного билета на бумажном носителе;</w:t>
            </w:r>
          </w:p>
          <w:p>
            <w:pPr>
              <w:pStyle w:val="NormalWeb"/>
              <w:widowControl w:val="false"/>
              <w:spacing w:lineRule="exact" w:line="340" w:before="28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2. Посадочный талон</w:t>
            </w:r>
          </w:p>
        </w:tc>
      </w:tr>
      <w:tr>
        <w:trPr/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Приобретение товаров (работ, услуг) у продавца (подрядчика), который не обязан использовать ККТ и/или бланки строгой отчетности</w:t>
            </w:r>
          </w:p>
        </w:tc>
        <w:tc>
          <w:tcPr>
            <w:tcW w:w="4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28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Документ, содержащий:</w:t>
            </w:r>
          </w:p>
          <w:p>
            <w:pPr>
              <w:pStyle w:val="NormalWeb"/>
              <w:widowControl w:val="false"/>
              <w:spacing w:lineRule="exact" w:line="340" w:before="280" w:after="28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- информацию о номенклатуре и стоимости приобретенных товаров (работ услуг);</w:t>
            </w:r>
          </w:p>
          <w:p>
            <w:pPr>
              <w:pStyle w:val="NormalWeb"/>
              <w:widowControl w:val="false"/>
              <w:spacing w:lineRule="exact" w:line="340" w:before="280" w:after="28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- дате операции;</w:t>
            </w:r>
          </w:p>
          <w:p>
            <w:pPr>
              <w:pStyle w:val="NormalWeb"/>
              <w:widowControl w:val="false"/>
              <w:spacing w:lineRule="exact" w:line="340" w:before="280" w:after="28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- данные, позволяющие однозначно идентифицировать контрагента;</w:t>
            </w:r>
          </w:p>
          <w:p>
            <w:pPr>
              <w:pStyle w:val="NormalWeb"/>
              <w:widowControl w:val="false"/>
              <w:spacing w:lineRule="exact" w:line="340" w:before="28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- иные обязательные реквизиты</w:t>
            </w:r>
          </w:p>
        </w:tc>
      </w:tr>
      <w:tr>
        <w:trPr/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Суточные</w:t>
            </w:r>
          </w:p>
        </w:tc>
        <w:tc>
          <w:tcPr>
            <w:tcW w:w="4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Style w:val="Printable"/>
                <w:rFonts w:cs="Times New Roman" w:ascii="Times New Roman" w:hAnsi="Times New Roman"/>
                <w:color w:val="000000"/>
                <w:sz w:val="28"/>
              </w:rPr>
              <w:t>_________________________</w:t>
            </w:r>
          </w:p>
        </w:tc>
      </w:tr>
      <w:tr>
        <w:trPr/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Оплата через подотчетное лицо платежей в бюджет (например, госпошлины)</w:t>
            </w:r>
          </w:p>
        </w:tc>
        <w:tc>
          <w:tcPr>
            <w:tcW w:w="4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Документ, подтверждающий оплату</w:t>
            </w:r>
          </w:p>
        </w:tc>
      </w:tr>
      <w:tr>
        <w:trPr/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Выплата денежных средств через подотчетное лицо - раздатчика</w:t>
            </w:r>
          </w:p>
        </w:tc>
        <w:tc>
          <w:tcPr>
            <w:tcW w:w="4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Ведомость с индивидуальными данными всех получателей и их подписями</w:t>
            </w:r>
          </w:p>
        </w:tc>
      </w:tr>
      <w:tr>
        <w:trPr/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Использование денежных документов - почтовых марок, маркированных конвертов</w:t>
            </w:r>
          </w:p>
        </w:tc>
        <w:tc>
          <w:tcPr>
            <w:tcW w:w="4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Реестры по использованию почтовых марок и маркированных конвертов, содержащие информацию об исходящих номерах документов по журналу регистрации исходящей корреспонденции, даты отправления</w:t>
            </w:r>
          </w:p>
        </w:tc>
      </w:tr>
      <w:tr>
        <w:trPr/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Использование денежных документов при оплате услуг сотовой связи, доступа к сети Интернет - карт оплаты</w:t>
            </w:r>
          </w:p>
        </w:tc>
        <w:tc>
          <w:tcPr>
            <w:tcW w:w="4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</w:rPr>
              <w:t>Выписки из клиентских счетов</w:t>
            </w:r>
          </w:p>
        </w:tc>
      </w:tr>
      <w:tr>
        <w:trPr/>
        <w:tc>
          <w:tcPr>
            <w:tcW w:w="48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Style w:val="Printable"/>
                <w:rFonts w:cs="Times New Roman" w:ascii="Times New Roman" w:hAnsi="Times New Roman"/>
                <w:color w:val="000000"/>
                <w:sz w:val="28"/>
              </w:rPr>
              <w:t>_________________________</w:t>
            </w:r>
          </w:p>
        </w:tc>
        <w:tc>
          <w:tcPr>
            <w:tcW w:w="4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exact" w:line="340" w:before="0" w:after="0"/>
              <w:rPr/>
            </w:pPr>
            <w:r>
              <w:rPr>
                <w:rStyle w:val="Printable"/>
                <w:rFonts w:cs="Times New Roman" w:ascii="Times New Roman" w:hAnsi="Times New Roman"/>
                <w:color w:val="000000"/>
                <w:sz w:val="28"/>
              </w:rPr>
              <w:t>_________________________</w:t>
            </w:r>
          </w:p>
        </w:tc>
      </w:tr>
    </w:tbl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3.7.</w:t>
      </w:r>
      <w:r>
        <w:rPr>
          <w:rFonts w:cs="Times New Roman" w:ascii="Times New Roman" w:hAnsi="Times New Roman"/>
          <w:sz w:val="28"/>
        </w:rPr>
        <w:t xml:space="preserve"> Факт оплаты товаров (работ, услуг) наличными денежными средствами и (или) с использованием платежных карт должен подтверждаться на основании представляемых подотчетными лицами чеков контрольно-кассовой техники.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При оплате ряда услуг в установленных действующим законодательством случаях факт осуществления расходов может подтверждаться документами, оформленными на бланках строгой отчетности (например, железнодорожными и авиабилетами, электронными билетами). К учету принимаются только бланки строгой отчетности, изготовленные типографским способом или сформированные с использованием специализированных автоматизированных систем.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>В отдельных случаях, предусмотренных действующим законодательством, факт оплаты может подтверждаться на основании документов, оформленных без применения бланков строгой отчетности (товарных чеков, квитанций и т.п.).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3.8.</w:t>
      </w:r>
      <w:r>
        <w:rPr>
          <w:rFonts w:cs="Times New Roman" w:ascii="Times New Roman" w:hAnsi="Times New Roman"/>
          <w:sz w:val="28"/>
        </w:rPr>
        <w:t xml:space="preserve"> Факт получения конкретного имущества, оказания (выполнения) определенных услуг (работ) помимо перечисленных выше документов может подтверждается иными документами, прилагаемыми подотчетными лицами к авансовым отчетам. Такие документы должны содержать обязательные реквизиты, приведенные в </w:t>
      </w:r>
      <w:hyperlink r:id="rId12">
        <w:r>
          <w:rPr>
            <w:rStyle w:val="-"/>
            <w:rFonts w:cs="Times New Roman" w:ascii="Times New Roman" w:hAnsi="Times New Roman"/>
            <w:sz w:val="28"/>
          </w:rPr>
          <w:t>ст. 9</w:t>
        </w:r>
      </w:hyperlink>
      <w:r>
        <w:rPr>
          <w:rFonts w:cs="Times New Roman" w:ascii="Times New Roman" w:hAnsi="Times New Roman"/>
          <w:sz w:val="28"/>
        </w:rPr>
        <w:t xml:space="preserve"> Федерального закона от 06.12.2011 N 402-ФЗ "О бухгалтерском учете", а в установленных действующим законодательством случаях должны быть оформлены по унифицированным формам.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3.9.</w:t>
      </w:r>
      <w:r>
        <w:rPr>
          <w:rFonts w:cs="Times New Roman" w:ascii="Times New Roman" w:hAnsi="Times New Roman"/>
          <w:sz w:val="28"/>
        </w:rPr>
        <w:t xml:space="preserve"> Особенности осуществления административно-хозяйственных расходов: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3.9.1.</w:t>
      </w:r>
      <w:r>
        <w:rPr>
          <w:rFonts w:cs="Times New Roman" w:ascii="Times New Roman" w:hAnsi="Times New Roman"/>
          <w:sz w:val="28"/>
        </w:rPr>
        <w:t xml:space="preserve"> Сотрудник имеет право расходовать полученные под отчет денежные средства только на те цели, которые указаны в Заявлении на выдачу аванса.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3.9.2.</w:t>
      </w:r>
      <w:r>
        <w:rPr>
          <w:rFonts w:cs="Times New Roman" w:ascii="Times New Roman" w:hAnsi="Times New Roman"/>
          <w:sz w:val="28"/>
        </w:rPr>
        <w:t xml:space="preserve"> Отчетные документы по административно-хозяйственным расходам должны быть датированы не ранее даты получения аванса на соответствующие цели. На товарных чеках (иных документах, прилагаемых к отчету) обязательно должен быть указан адрес торговой точки (магазина), в которой производилась закупка (расходовались денежные средства). Товарные чеки (иные документы, прилагаемые к отчету) должны быть заполнены без помарок, подчисток, исправлений, чернилами одного цвета.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3.9.3.</w:t>
      </w:r>
      <w:r>
        <w:rPr>
          <w:rFonts w:cs="Times New Roman" w:ascii="Times New Roman" w:hAnsi="Times New Roman"/>
          <w:sz w:val="28"/>
        </w:rPr>
        <w:t xml:space="preserve"> При представлении авансового отчета обязательно наличие кассового чека или документа, оформленного в установленных случаях на бланке строгой отчетности. Если кассовый чек (бланк строгой отчетности) не оформляется на законных основаниях, то к отчету прилагается соответствующее объяснение. Например: "В ходе выполнения служебного задания были оплачены услуги по </w:t>
      </w:r>
      <w:r>
        <w:rPr>
          <w:rStyle w:val="Printable"/>
          <w:rFonts w:cs="Times New Roman" w:ascii="Times New Roman" w:hAnsi="Times New Roman"/>
          <w:sz w:val="28"/>
        </w:rPr>
        <w:t>_________________________</w:t>
      </w:r>
      <w:r>
        <w:rPr>
          <w:rFonts w:cs="Times New Roman" w:ascii="Times New Roman" w:hAnsi="Times New Roman"/>
          <w:sz w:val="28"/>
        </w:rPr>
        <w:t xml:space="preserve">. Получена квитанция N </w:t>
      </w:r>
      <w:r>
        <w:rPr>
          <w:rStyle w:val="Printable"/>
          <w:rFonts w:cs="Times New Roman" w:ascii="Times New Roman" w:hAnsi="Times New Roman"/>
          <w:sz w:val="28"/>
        </w:rPr>
        <w:t>_________________________</w:t>
      </w:r>
      <w:r>
        <w:rPr>
          <w:rFonts w:cs="Times New Roman" w:ascii="Times New Roman" w:hAnsi="Times New Roman"/>
          <w:sz w:val="28"/>
        </w:rPr>
        <w:t>, прилагаемая к авансовому отчету. Организация, оказавшая услугу, не выдает кассовые чеки (бланки строгой отчетности) в связи с применением Единого налога на вмененный доход.".</w:t>
      </w:r>
    </w:p>
    <w:p>
      <w:pPr>
        <w:pStyle w:val="NormalWeb"/>
        <w:spacing w:lineRule="exact" w:line="340" w:before="280" w:after="280"/>
        <w:rPr/>
      </w:pPr>
      <w:r>
        <w:rPr>
          <w:rFonts w:cs="Times New Roman" w:ascii="Times New Roman" w:hAnsi="Times New Roman"/>
          <w:sz w:val="28"/>
        </w:rPr>
        <w:t xml:space="preserve">Время оплаты, указанное на кассовых чеках и иных документах, прилагаемых к авансовым отчетам, должно быть в интервале: от </w:t>
      </w:r>
      <w:r>
        <w:rPr>
          <w:rStyle w:val="Printable"/>
          <w:rFonts w:cs="Times New Roman" w:ascii="Times New Roman" w:hAnsi="Times New Roman"/>
          <w:sz w:val="28"/>
        </w:rPr>
        <w:t>_________________________</w:t>
      </w:r>
      <w:r>
        <w:rPr>
          <w:rFonts w:cs="Times New Roman" w:ascii="Times New Roman" w:hAnsi="Times New Roman"/>
          <w:sz w:val="28"/>
        </w:rPr>
        <w:t xml:space="preserve"> часов до </w:t>
      </w:r>
      <w:r>
        <w:rPr>
          <w:rStyle w:val="Printable"/>
          <w:rFonts w:cs="Times New Roman" w:ascii="Times New Roman" w:hAnsi="Times New Roman"/>
          <w:sz w:val="28"/>
        </w:rPr>
        <w:t>_________________________</w:t>
      </w:r>
      <w:r>
        <w:rPr>
          <w:rFonts w:cs="Times New Roman" w:ascii="Times New Roman" w:hAnsi="Times New Roman"/>
          <w:sz w:val="28"/>
        </w:rPr>
        <w:t xml:space="preserve"> часов.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3.9.4.</w:t>
      </w:r>
      <w:r>
        <w:rPr>
          <w:rFonts w:cs="Times New Roman" w:ascii="Times New Roman" w:hAnsi="Times New Roman"/>
          <w:sz w:val="28"/>
        </w:rPr>
        <w:t xml:space="preserve"> На товарных чеках (иных документах, подтверждающих приобретение товарно-материальных ценностей) должны быть проставлены отметки об оприходовании: номер и страница соответствующей книги учета материально-ответственного лица; фамилия и инициалы лица, оприходовавшего (получившего) имущество. При оплате работ (услуг) к отчету прилагается акт комиссии, подтверждающий факт выполнения работ (оказания услуг) и их целевая направленность.</w:t>
      </w:r>
    </w:p>
    <w:p>
      <w:pPr>
        <w:pStyle w:val="NormalWeb"/>
        <w:spacing w:lineRule="exact" w:line="340" w:before="280" w:after="280"/>
        <w:rPr/>
      </w:pPr>
      <w:r>
        <w:rPr>
          <w:rStyle w:val="Enumerated"/>
          <w:rFonts w:cs="Times New Roman" w:ascii="Times New Roman" w:hAnsi="Times New Roman"/>
          <w:sz w:val="28"/>
        </w:rPr>
        <w:t>3.9.5.</w:t>
      </w:r>
      <w:r>
        <w:rPr>
          <w:rFonts w:cs="Times New Roman" w:ascii="Times New Roman" w:hAnsi="Times New Roman"/>
          <w:sz w:val="28"/>
        </w:rPr>
        <w:t xml:space="preserve"> При наличии в отчетных документах нарушений перечисленных выше требований авансовый отчет представляется лично руководителю с письменным объяснением причин нарушений для принятия окончательного решения об оплате (отказе в оплате).</w:t>
      </w:r>
    </w:p>
    <w:p>
      <w:pPr>
        <w:pStyle w:val="2"/>
        <w:spacing w:lineRule="exact" w:line="340" w:before="280" w:after="280"/>
        <w:rPr/>
      </w:pPr>
      <w:r>
        <w:rPr/>
      </w:r>
    </w:p>
    <w:sectPr>
      <w:type w:val="nextPage"/>
      <w:pgSz w:w="11906" w:h="16838"/>
      <w:pgMar w:left="1380" w:right="850" w:gutter="0" w:header="0" w:top="705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pPr>
      <w:spacing w:beforeAutospacing="1" w:afterAutospacing="1"/>
      <w:jc w:val="center"/>
      <w:outlineLvl w:val="0"/>
    </w:pPr>
    <w:rPr>
      <w:rFonts w:ascii="Arial" w:hAnsi="Arial" w:cs="Arial"/>
      <w:b/>
      <w:bCs/>
      <w:color w:val="000000"/>
      <w:kern w:val="2"/>
      <w:sz w:val="40"/>
      <w:szCs w:val="40"/>
    </w:rPr>
  </w:style>
  <w:style w:type="paragraph" w:styleId="2">
    <w:name w:val="Heading 2"/>
    <w:basedOn w:val="Normal"/>
    <w:link w:val="21"/>
    <w:uiPriority w:val="9"/>
    <w:qFormat/>
    <w:pPr>
      <w:spacing w:beforeAutospacing="1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Normal"/>
    <w:link w:val="31"/>
    <w:uiPriority w:val="9"/>
    <w:qFormat/>
    <w:pPr>
      <w:spacing w:beforeAutospacing="1" w:afterAutospacing="1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Normal"/>
    <w:link w:val="41"/>
    <w:uiPriority w:val="9"/>
    <w:qFormat/>
    <w:pPr>
      <w:spacing w:beforeAutospacing="1" w:afterAutospacing="1"/>
      <w:jc w:val="center"/>
      <w:outlineLvl w:val="3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Pr>
      <w:strike w:val="false"/>
      <w:dstrike w:val="false"/>
      <w:color w:val="000000"/>
      <w:u w:val="none"/>
      <w:effect w:val="none"/>
    </w:rPr>
  </w:style>
  <w:style w:type="character" w:styleId="Style5">
    <w:name w:val="FollowedHyperlink"/>
    <w:basedOn w:val="DefaultParagraphFont"/>
    <w:uiPriority w:val="99"/>
    <w:semiHidden/>
    <w:unhideWhenUsed/>
    <w:rPr>
      <w:strike w:val="false"/>
      <w:dstrike w:val="false"/>
      <w:color w:val="000000"/>
      <w:u w:val="none"/>
      <w:effect w:val="none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Pr>
      <w:rFonts w:ascii="Consolas" w:hAnsi="Consolas" w:eastAsia="" w:eastAsiaTheme="minorEastAsia"/>
    </w:rPr>
  </w:style>
  <w:style w:type="character" w:styleId="Printable" w:customStyle="1">
    <w:name w:val="printable"/>
    <w:basedOn w:val="DefaultParagraphFont"/>
    <w:qFormat/>
    <w:rPr/>
  </w:style>
  <w:style w:type="character" w:styleId="Enumerated" w:customStyle="1">
    <w:name w:val="enumerated"/>
    <w:basedOn w:val="DefaultParagraphFont"/>
    <w:qFormat/>
    <w:rPr/>
  </w:style>
  <w:style w:type="paragraph" w:styleId="Style6">
    <w:name w:val="Заголовок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7">
    <w:name w:val="Body Text"/>
    <w:basedOn w:val="Normal"/>
    <w:pPr>
      <w:spacing w:lineRule="auto" w:line="276" w:before="0" w:after="140"/>
    </w:pPr>
    <w:rPr/>
  </w:style>
  <w:style w:type="paragraph" w:styleId="Style8">
    <w:name w:val="List"/>
    <w:basedOn w:val="Style7"/>
    <w:pPr/>
    <w:rPr>
      <w:rFonts w:cs="Lucida Sans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both"/>
    </w:pPr>
    <w:rPr>
      <w:rFonts w:ascii="Arial" w:hAnsi="Arial" w:cs="Arial"/>
    </w:rPr>
  </w:style>
  <w:style w:type="paragraph" w:styleId="Txtcomment" w:customStyle="1">
    <w:name w:val="txtcomment"/>
    <w:basedOn w:val="Normal"/>
    <w:qFormat/>
    <w:pPr>
      <w:shd w:val="clear" w:color="auto" w:fill="C0C0C0"/>
      <w:ind w:left="2" w:right="2" w:hanging="0"/>
      <w:jc w:val="both"/>
    </w:pPr>
    <w:rPr>
      <w:rFonts w:ascii="Arial" w:hAnsi="Arial" w:cs="Arial"/>
      <w:i/>
      <w:iCs/>
      <w:color w:val="800080"/>
    </w:rPr>
  </w:style>
  <w:style w:type="paragraph" w:styleId="Usercomment" w:customStyle="1">
    <w:name w:val="usercomment"/>
    <w:basedOn w:val="Normal"/>
    <w:qFormat/>
    <w:pPr>
      <w:shd w:val="clear" w:color="auto" w:fill="C0C0C0"/>
      <w:ind w:left="2" w:right="2" w:hanging="0"/>
    </w:pPr>
    <w:rPr>
      <w:rFonts w:ascii="Arial" w:hAnsi="Arial" w:cs="Arial"/>
      <w:i/>
      <w:iCs/>
      <w:color w:val="000000"/>
    </w:rPr>
  </w:style>
  <w:style w:type="paragraph" w:styleId="Versioninfo" w:customStyle="1">
    <w:name w:val="versioninfo"/>
    <w:basedOn w:val="Normal"/>
    <w:qFormat/>
    <w:pPr>
      <w:shd w:val="clear" w:color="auto" w:fill="C0C0C0"/>
      <w:ind w:left="2" w:right="2" w:hanging="0"/>
      <w:jc w:val="both"/>
    </w:pPr>
    <w:rPr>
      <w:rFonts w:ascii="Arial" w:hAnsi="Arial" w:cs="Arial"/>
      <w:i/>
      <w:iCs/>
      <w:color w:val="000080"/>
    </w:rPr>
  </w:style>
  <w:style w:type="paragraph" w:styleId="Fullwidth" w:customStyle="1">
    <w:name w:val="fullwidth"/>
    <w:basedOn w:val="Normal"/>
    <w:qFormat/>
    <w:pPr>
      <w:spacing w:beforeAutospacing="1" w:afterAutospacing="1"/>
      <w:jc w:val="both"/>
    </w:pPr>
    <w:rPr>
      <w:rFonts w:ascii="Arial" w:hAnsi="Arial" w:cs="Arial"/>
    </w:rPr>
  </w:style>
  <w:style w:type="paragraph" w:styleId="Buttoninput" w:customStyle="1">
    <w:name w:val="buttoninput"/>
    <w:basedOn w:val="Normal"/>
    <w:qFormat/>
    <w:pPr>
      <w:spacing w:beforeAutospacing="1" w:afterAutospacing="1"/>
      <w:jc w:val="both"/>
    </w:pPr>
    <w:rPr>
      <w:rFonts w:ascii="Arial" w:hAnsi="Arial" w:cs="Arial"/>
      <w:vanish/>
    </w:rPr>
  </w:style>
  <w:style w:type="paragraph" w:styleId="Colorselection" w:customStyle="1">
    <w:name w:val="colorselection"/>
    <w:basedOn w:val="Normal"/>
    <w:qFormat/>
    <w:pPr>
      <w:spacing w:beforeAutospacing="1" w:afterAutospacing="1"/>
      <w:jc w:val="both"/>
    </w:pPr>
    <w:rPr>
      <w:rFonts w:ascii="Arial" w:hAnsi="Arial" w:cs="Arial"/>
      <w:color w:val="0000FF"/>
    </w:rPr>
  </w:style>
  <w:style w:type="paragraph" w:styleId="Articleheader" w:customStyle="1">
    <w:name w:val="articleheader"/>
    <w:basedOn w:val="Normal"/>
    <w:qFormat/>
    <w:pPr>
      <w:spacing w:beforeAutospacing="1" w:afterAutospacing="1"/>
      <w:jc w:val="both"/>
    </w:pPr>
    <w:rPr>
      <w:rFonts w:ascii="Arial" w:hAnsi="Arial" w:cs="Arial"/>
      <w:color w:val="000000"/>
    </w:rPr>
  </w:style>
  <w:style w:type="paragraph" w:styleId="Normalnote" w:customStyle="1">
    <w:name w:val="normalnote"/>
    <w:basedOn w:val="Normal"/>
    <w:qFormat/>
    <w:pPr>
      <w:ind w:left="2" w:right="2" w:hanging="0"/>
    </w:pPr>
    <w:rPr>
      <w:rFonts w:ascii="Arial" w:hAnsi="Arial" w:cs="Arial"/>
      <w:color w:val="000000"/>
    </w:rPr>
  </w:style>
  <w:style w:type="paragraph" w:styleId="Normaltable" w:customStyle="1">
    <w:name w:val="normaltable"/>
    <w:basedOn w:val="Normal"/>
    <w:qFormat/>
    <w:pPr>
      <w:spacing w:beforeAutospacing="1" w:afterAutospacing="1"/>
      <w:jc w:val="both"/>
    </w:pPr>
    <w:rPr>
      <w:rFonts w:ascii="Arial" w:hAnsi="Arial" w:cs="Arial"/>
      <w:color w:val="000000"/>
    </w:rPr>
  </w:style>
  <w:style w:type="paragraph" w:styleId="Hfleft" w:customStyle="1">
    <w:name w:val="hfleft"/>
    <w:basedOn w:val="Normal"/>
    <w:qFormat/>
    <w:pPr>
      <w:spacing w:beforeAutospacing="1" w:afterAutospacing="1"/>
    </w:pPr>
    <w:rPr>
      <w:rFonts w:ascii="Arial" w:hAnsi="Arial" w:cs="Arial"/>
      <w:color w:val="000000"/>
      <w:sz w:val="12"/>
      <w:szCs w:val="12"/>
    </w:rPr>
  </w:style>
  <w:style w:type="paragraph" w:styleId="Normalsbsleft" w:customStyle="1">
    <w:name w:val="normalsbsleft"/>
    <w:basedOn w:val="Normal"/>
    <w:qFormat/>
    <w:pPr>
      <w:spacing w:beforeAutospacing="1" w:afterAutospacing="1"/>
    </w:pPr>
    <w:rPr>
      <w:rFonts w:ascii="Arial" w:hAnsi="Arial" w:cs="Arial"/>
      <w:color w:val="000000"/>
    </w:rPr>
  </w:style>
  <w:style w:type="paragraph" w:styleId="Hfright" w:customStyle="1">
    <w:name w:val="hfright"/>
    <w:basedOn w:val="Normal"/>
    <w:qFormat/>
    <w:pPr>
      <w:spacing w:beforeAutospacing="1" w:afterAutospacing="1"/>
      <w:jc w:val="right"/>
    </w:pPr>
    <w:rPr>
      <w:rFonts w:ascii="Arial" w:hAnsi="Arial" w:cs="Arial"/>
      <w:color w:val="000000"/>
      <w:sz w:val="12"/>
      <w:szCs w:val="12"/>
    </w:rPr>
  </w:style>
  <w:style w:type="paragraph" w:styleId="Normalsbsright" w:customStyle="1">
    <w:name w:val="normalsbsright"/>
    <w:basedOn w:val="Normal"/>
    <w:qFormat/>
    <w:pPr>
      <w:spacing w:beforeAutospacing="1" w:afterAutospacing="1"/>
      <w:jc w:val="right"/>
    </w:pPr>
    <w:rPr>
      <w:rFonts w:ascii="Arial" w:hAnsi="Arial" w:cs="Arial"/>
      <w:color w:val="000000"/>
    </w:rPr>
  </w:style>
  <w:style w:type="paragraph" w:styleId="Ansidos" w:customStyle="1">
    <w:name w:val="ansidos"/>
    <w:basedOn w:val="Normal"/>
    <w:qFormat/>
    <w:pPr>
      <w:spacing w:beforeAutospacing="1" w:afterAutospacing="1"/>
      <w:jc w:val="both"/>
    </w:pPr>
    <w:rPr>
      <w:rFonts w:ascii="Courier New" w:hAnsi="Courier New" w:cs="Courier New"/>
      <w:color w:val="000000"/>
    </w:rPr>
  </w:style>
  <w:style w:type="paragraph" w:styleId="Normaloem" w:customStyle="1">
    <w:name w:val="normaloem"/>
    <w:basedOn w:val="Normal"/>
    <w:qFormat/>
    <w:pPr>
      <w:spacing w:beforeAutospacing="1" w:afterAutospacing="1"/>
      <w:jc w:val="both"/>
    </w:pPr>
    <w:rPr>
      <w:rFonts w:ascii="Courier New" w:hAnsi="Courier New" w:cs="Courier New"/>
      <w:color w:val="000000"/>
    </w:rPr>
  </w:style>
  <w:style w:type="paragraph" w:styleId="Toleft" w:customStyle="1">
    <w:name w:val="toleft"/>
    <w:basedOn w:val="Normal"/>
    <w:qFormat/>
    <w:pPr>
      <w:spacing w:beforeAutospacing="1" w:afterAutospacing="1"/>
    </w:pPr>
    <w:rPr>
      <w:rFonts w:ascii="Arial" w:hAnsi="Arial" w:cs="Arial"/>
      <w:color w:val="000000"/>
    </w:rPr>
  </w:style>
  <w:style w:type="paragraph" w:styleId="Contents" w:customStyle="1">
    <w:name w:val="contents"/>
    <w:basedOn w:val="Normal"/>
    <w:qFormat/>
    <w:pPr>
      <w:shd w:val="clear" w:color="auto" w:fill="C0C0C0"/>
      <w:spacing w:beforeAutospacing="1" w:afterAutospacing="1"/>
      <w:jc w:val="both"/>
    </w:pPr>
    <w:rPr>
      <w:rFonts w:ascii="Courier New" w:hAnsi="Courier New" w:cs="Courier New"/>
      <w:color w:val="000000"/>
    </w:rPr>
  </w:style>
  <w:style w:type="paragraph" w:styleId="Foundwords" w:customStyle="1">
    <w:name w:val="foundwords"/>
    <w:basedOn w:val="Normal"/>
    <w:qFormat/>
    <w:pPr>
      <w:shd w:val="clear" w:color="auto" w:fill="FF0000"/>
      <w:spacing w:beforeAutospacing="1" w:afterAutospacing="1"/>
      <w:jc w:val="both"/>
    </w:pPr>
    <w:rPr>
      <w:rFonts w:ascii="Arial" w:hAnsi="Arial" w:cs="Arial"/>
      <w:b/>
      <w:bCs/>
      <w:color w:val="FFFFFF"/>
    </w:rPr>
  </w:style>
  <w:style w:type="paragraph" w:styleId="Txtoutofdate" w:customStyle="1">
    <w:name w:val="txtoutofdate"/>
    <w:basedOn w:val="Normal"/>
    <w:qFormat/>
    <w:pPr>
      <w:spacing w:beforeAutospacing="1" w:afterAutospacing="1"/>
      <w:jc w:val="both"/>
    </w:pPr>
    <w:rPr>
      <w:rFonts w:ascii="Arial" w:hAnsi="Arial" w:cs="Arial"/>
      <w:color w:val="808000"/>
    </w:rPr>
  </w:style>
  <w:style w:type="paragraph" w:styleId="Notapplied" w:customStyle="1">
    <w:name w:val="notapplied"/>
    <w:basedOn w:val="Normal"/>
    <w:qFormat/>
    <w:pPr>
      <w:spacing w:beforeAutospacing="1" w:afterAutospacing="1"/>
      <w:jc w:val="both"/>
    </w:pPr>
    <w:rPr>
      <w:rFonts w:ascii="Arial" w:hAnsi="Arial" w:cs="Arial"/>
      <w:color w:val="008080"/>
    </w:rPr>
  </w:style>
  <w:style w:type="paragraph" w:styleId="Dictentry" w:customStyle="1">
    <w:name w:val="dictentry"/>
    <w:basedOn w:val="Normal"/>
    <w:qFormat/>
    <w:pPr>
      <w:ind w:right="2" w:hanging="0"/>
      <w:jc w:val="both"/>
    </w:pPr>
    <w:rPr>
      <w:rFonts w:ascii="Arial" w:hAnsi="Arial" w:cs="Arial"/>
      <w:color w:val="000000"/>
    </w:rPr>
  </w:style>
  <w:style w:type="paragraph" w:styleId="Hyperlinkcont" w:customStyle="1">
    <w:name w:val="hyperlinkcont"/>
    <w:basedOn w:val="Normal"/>
    <w:qFormat/>
    <w:pPr>
      <w:spacing w:beforeAutospacing="1" w:afterAutospacing="1"/>
      <w:jc w:val="both"/>
    </w:pPr>
    <w:rPr>
      <w:rFonts w:ascii="Arial" w:hAnsi="Arial" w:cs="Arial"/>
      <w:color w:val="008000"/>
    </w:rPr>
  </w:style>
  <w:style w:type="paragraph" w:styleId="Normaltablelist" w:customStyle="1">
    <w:name w:val="normaltablelist"/>
    <w:basedOn w:val="Normal"/>
    <w:qFormat/>
    <w:pPr>
      <w:spacing w:beforeAutospacing="1" w:afterAutospacing="1"/>
      <w:jc w:val="both"/>
    </w:pPr>
    <w:rPr>
      <w:rFonts w:ascii="Arial" w:hAnsi="Arial" w:cs="Arial"/>
      <w:color w:val="000000"/>
    </w:rPr>
  </w:style>
  <w:style w:type="paragraph" w:styleId="Techcomment" w:customStyle="1">
    <w:name w:val="techcomment"/>
    <w:basedOn w:val="Normal"/>
    <w:qFormat/>
    <w:pPr>
      <w:shd w:val="clear" w:color="auto" w:fill="FFFF00"/>
      <w:spacing w:beforeAutospacing="1" w:afterAutospacing="1"/>
    </w:pPr>
    <w:rPr>
      <w:rFonts w:ascii="Arial" w:hAnsi="Arial" w:cs="Arial"/>
      <w:color w:val="000000"/>
    </w:rPr>
  </w:style>
  <w:style w:type="paragraph" w:styleId="Style1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&#1043;&#1072;&#1088;&#1072;&#1085;&#1090;" TargetMode="External"/><Relationship Id="rId3" Type="http://schemas.openxmlformats.org/officeDocument/2006/relationships/hyperlink" Target="./&#1043;&#1072;&#1088;&#1072;&#1085;&#1090;" TargetMode="External"/><Relationship Id="rId4" Type="http://schemas.openxmlformats.org/officeDocument/2006/relationships/hyperlink" Target="./&#1043;&#1072;&#1088;&#1072;&#1085;&#1090;" TargetMode="External"/><Relationship Id="rId5" Type="http://schemas.openxmlformats.org/officeDocument/2006/relationships/hyperlink" Target="./&#1043;&#1072;&#1088;&#1072;&#1085;&#1090;" TargetMode="External"/><Relationship Id="rId6" Type="http://schemas.openxmlformats.org/officeDocument/2006/relationships/hyperlink" Target="./&#1043;&#1072;&#1088;&#1072;&#1085;&#1090;" TargetMode="External"/><Relationship Id="rId7" Type="http://schemas.openxmlformats.org/officeDocument/2006/relationships/hyperlink" Target="./&#1043;&#1072;&#1088;&#1072;&#1085;&#1090;" TargetMode="External"/><Relationship Id="rId8" Type="http://schemas.openxmlformats.org/officeDocument/2006/relationships/hyperlink" Target="./&#1043;&#1072;&#1088;&#1072;&#1085;&#1090;" TargetMode="External"/><Relationship Id="rId9" Type="http://schemas.openxmlformats.org/officeDocument/2006/relationships/hyperlink" Target="./&#1043;&#1072;&#1088;&#1072;&#1085;&#1090;" TargetMode="External"/><Relationship Id="rId10" Type="http://schemas.openxmlformats.org/officeDocument/2006/relationships/hyperlink" Target="./&#1043;&#1072;&#1088;&#1072;&#1085;&#1090;" TargetMode="External"/><Relationship Id="rId11" Type="http://schemas.openxmlformats.org/officeDocument/2006/relationships/hyperlink" Target="./&#1043;&#1072;&#1088;&#1072;&#1085;&#1090;" TargetMode="External"/><Relationship Id="rId12" Type="http://schemas.openxmlformats.org/officeDocument/2006/relationships/hyperlink" Target="./&#1043;&#1072;&#1088;&#1072;&#1085;&#1090;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LibreOffice/7.5.0.3$Windows_X86_64 LibreOffice_project/c21113d003cd3efa8c53188764377a8272d9d6de</Application>
  <AppVersion>15.0000</AppVersion>
  <Pages>9</Pages>
  <Words>1986</Words>
  <Characters>14666</Characters>
  <CharactersWithSpaces>16545</CharactersWithSpaces>
  <Paragraphs>113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2020-10-23T10:58:00Z</dcterms:created>
  <dc:creator>Главный бухгалтер</dc:creator>
  <dc:description/>
  <dc:language>ru-RU</dc:language>
  <cp:lastModifiedBy/>
  <cp:lastPrinted>2024-01-26T16:49:39Z</cp:lastPrinted>
  <dcterms:modified xsi:type="dcterms:W3CDTF">2024-01-26T16:50:43Z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